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8"/>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JSZC-321200-HXZC-C2025-0073</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843"/>
      </w:pPr>
      <w:r/>
      <w:r/>
    </w:p>
    <w:p>
      <w:pPr>
        <w:jc w:val="center"/>
        <w:rPr>
          <w:rFonts w:ascii="黑体" w:hAnsi="华文中宋" w:eastAsia="黑体"/>
          <w:bCs/>
          <w:sz w:val="28"/>
          <w:szCs w:val="28"/>
        </w:rPr>
      </w:pPr>
      <w:r>
        <w:rPr>
          <w:rFonts w:hint="eastAsia" w:ascii="黑体" w:hAnsi="华文中宋" w:eastAsia="黑体"/>
          <w:bCs/>
          <w:sz w:val="28"/>
          <w:szCs w:val="28"/>
        </w:rPr>
        <w:t xml:space="preserve">2025年</w:t>
      </w:r>
      <w:r>
        <w:rPr>
          <w:rFonts w:hint="eastAsia" w:ascii="黑体" w:hAnsi="华文中宋" w:eastAsia="黑体"/>
          <w:bCs/>
          <w:sz w:val="28"/>
          <w:szCs w:val="28"/>
          <w:lang w:val="en-US" w:eastAsia="zh-CN"/>
        </w:rPr>
        <w:t xml:space="preserve">11</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865"/>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855"/>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5"/>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5"/>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5"/>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5"/>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bookmarkStart w:id="186" w:name="_GoBack"/>
          <w:r/>
          <w:bookmarkEnd w:id="186"/>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855"/>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57</w:t>
          </w:r>
          <w:r>
            <w:rPr>
              <w:rFonts w:hint="eastAsia" w:ascii="宋体" w:hAnsi="宋体" w:cs="宋体"/>
              <w:sz w:val="28"/>
              <w:szCs w:val="32"/>
            </w:rPr>
            <w:fldChar w:fldCharType="end"/>
          </w:r>
          <w:r>
            <w:rPr>
              <w:rFonts w:hint="eastAsia" w:ascii="宋体" w:hAnsi="宋体" w:cs="宋体"/>
              <w:sz w:val="28"/>
              <w:szCs w:val="32"/>
            </w:rPr>
            <w:fldChar w:fldCharType="end"/>
          </w:r>
          <w:r/>
        </w:p>
        <w:p>
          <w:pPr>
            <w:pStyle w:val="834"/>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2025</w:t>
      </w:r>
      <w:r>
        <w:rPr>
          <w:rFonts w:hint="eastAsia" w:ascii="宋体" w:hAnsi="宋体"/>
          <w:bCs/>
          <w:color w:val="0000ff"/>
          <w:sz w:val="24"/>
          <w:u w:val="single"/>
        </w:rPr>
        <w:t xml:space="preserve">年</w:t>
      </w:r>
      <w:r>
        <w:rPr>
          <w:rFonts w:hint="eastAsia" w:ascii="宋体" w:hAnsi="宋体"/>
          <w:bCs/>
          <w:color w:val="0000ff"/>
          <w:sz w:val="24"/>
          <w:u w:val="single"/>
          <w:lang w:val="en-US" w:eastAsia="zh-CN"/>
        </w:rPr>
        <w:t xml:space="preserve">12</w:t>
      </w:r>
      <w:r>
        <w:rPr>
          <w:rFonts w:ascii="宋体" w:hAnsi="宋体"/>
          <w:bCs/>
          <w:color w:val="0000ff"/>
          <w:sz w:val="24"/>
          <w:u w:val="single"/>
        </w:rPr>
        <w:t xml:space="preserve">月</w:t>
      </w:r>
      <w:r>
        <w:rPr>
          <w:rFonts w:hint="eastAsia" w:ascii="宋体" w:hAnsi="宋体"/>
          <w:bCs/>
          <w:color w:val="0000ff"/>
          <w:sz w:val="24"/>
          <w:u w:val="single"/>
          <w:lang w:val="en-US" w:eastAsia="zh-CN"/>
        </w:rPr>
        <w:t xml:space="preserve">4</w:t>
      </w:r>
      <w:r>
        <w:rPr>
          <w:rFonts w:hint="eastAsia" w:ascii="宋体" w:hAnsi="宋体"/>
          <w:bCs/>
          <w:color w:val="0000ff"/>
          <w:sz w:val="24"/>
          <w:u w:val="single"/>
        </w:rPr>
        <w:t xml:space="preserve">日</w:t>
      </w:r>
      <w:r>
        <w:rPr>
          <w:rFonts w:hint="eastAsia" w:ascii="宋体" w:hAnsi="宋体"/>
          <w:bCs/>
          <w:color w:val="0000ff"/>
          <w:sz w:val="24"/>
          <w:u w:val="single"/>
          <w:lang w:val="en-US" w:eastAsia="zh-CN"/>
        </w:rPr>
        <w:t xml:space="preserve">9</w:t>
      </w:r>
      <w:r>
        <w:rPr>
          <w:rFonts w:hint="eastAsia" w:ascii="宋体" w:hAnsi="宋体"/>
          <w:bCs/>
          <w:color w:val="0000ff"/>
          <w:sz w:val="24"/>
          <w:u w:val="single"/>
        </w:rPr>
        <w:t xml:space="preserve">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835"/>
        <w:spacing w:line="240" w:lineRule="auto"/>
        <w:rPr>
          <w:rFonts w:ascii="宋体" w:hAnsi="宋体" w:eastAsia="宋体" w:cs="宋体"/>
          <w:sz w:val="24"/>
          <w:szCs w:val="24"/>
        </w:rPr>
      </w:pPr>
      <w:r/>
      <w:bookmarkStart w:id="6" w:name="_Toc28359012"/>
      <w:r/>
      <w:bookmarkStart w:id="7" w:name="_Toc35393798"/>
      <w:r/>
      <w:bookmarkStart w:id="8" w:name="_Toc35393629"/>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JSZC-321200-HXZC-C2025-0073</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2025年</w:t>
      </w:r>
      <w:r>
        <w:rPr>
          <w:rFonts w:hint="eastAsia" w:ascii="宋体" w:hAnsi="宋体" w:cs="宋体"/>
          <w:color w:val="0000ff"/>
          <w:sz w:val="24"/>
          <w:szCs w:val="24"/>
          <w:lang w:val="en-US" w:eastAsia="zh-CN"/>
        </w:rPr>
        <w:t xml:space="preserve">11</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21</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12</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4</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rPr>
        <w:t xml:space="preserve">2025年</w:t>
      </w:r>
      <w:r>
        <w:rPr>
          <w:rFonts w:hint="eastAsia" w:ascii="宋体" w:hAnsi="宋体" w:cs="仿宋_GB2312"/>
          <w:color w:val="0000ff"/>
          <w:sz w:val="24"/>
          <w:szCs w:val="24"/>
          <w:lang w:val="en-US" w:eastAsia="zh-CN"/>
        </w:rPr>
        <w:t xml:space="preserve">12</w:t>
      </w:r>
      <w:r>
        <w:rPr>
          <w:rFonts w:ascii="宋体" w:hAnsi="宋体" w:cs="仿宋_GB2312"/>
          <w:color w:val="0000ff"/>
          <w:sz w:val="24"/>
          <w:szCs w:val="24"/>
        </w:rPr>
        <w:t xml:space="preserve">月</w:t>
      </w:r>
      <w:r>
        <w:rPr>
          <w:rFonts w:hint="eastAsia" w:ascii="宋体" w:hAnsi="宋体" w:cs="仿宋_GB2312"/>
          <w:color w:val="0000ff"/>
          <w:sz w:val="24"/>
          <w:szCs w:val="24"/>
          <w:lang w:val="en-US" w:eastAsia="zh-CN"/>
        </w:rPr>
        <w:t xml:space="preserve">4</w:t>
      </w:r>
      <w:r>
        <w:rPr>
          <w:rFonts w:hint="eastAsia" w:ascii="宋体" w:hAnsi="宋体" w:cs="仿宋_GB2312"/>
          <w:color w:val="0000ff"/>
          <w:sz w:val="24"/>
          <w:szCs w:val="24"/>
        </w:rPr>
        <w:t xml:space="preserve">日</w:t>
      </w:r>
      <w:r>
        <w:rPr>
          <w:rFonts w:hint="eastAsia" w:ascii="宋体" w:hAnsi="宋体" w:cs="仿宋_GB2312"/>
          <w:color w:val="0000ff"/>
          <w:sz w:val="24"/>
          <w:szCs w:val="24"/>
          <w:lang w:val="en-US" w:eastAsia="zh-CN"/>
        </w:rPr>
        <w:t xml:space="preserve">9</w:t>
      </w:r>
      <w:r>
        <w:rPr>
          <w:rFonts w:hint="eastAsia" w:ascii="宋体" w:hAnsi="宋体" w:cs="仿宋_GB2312"/>
          <w:color w:val="0000ff"/>
          <w:sz w:val="24"/>
          <w:szCs w:val="24"/>
        </w:rPr>
        <w:t xml:space="preserve">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96"/>
      <w:r/>
      <w:bookmarkStart w:id="11" w:name="_Toc35393806"/>
      <w:r/>
      <w:bookmarkStart w:id="12" w:name="_Toc28359019"/>
      <w:r/>
      <w:bookmarkStart w:id="13" w:name="_Toc35393637"/>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28359097"/>
      <w:r/>
      <w:bookmarkStart w:id="15" w:name="_Toc35393638"/>
      <w:r/>
      <w:bookmarkStart w:id="16" w:name="_Toc28359020"/>
      <w:r/>
      <w:bookmarkStart w:id="17" w:name="_Toc35393807"/>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bookmarkEnd w:id="15"/>
      <w:bookmarkEnd w:id="16"/>
      <w:bookmarkEnd w:id="17"/>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p>
    <w:p>
      <w:pPr>
        <w:pStyle w:val="834"/>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p>
    <w:p>
      <w:pPr>
        <w:rPr>
          <w:rFonts w:ascii="宋体" w:hAnsi="Calibri" w:eastAsia="宋体"/>
          <w:sz w:val="32"/>
          <w:szCs w:val="32"/>
        </w:rPr>
      </w:pPr>
      <w:r>
        <w:rPr>
          <w:rFonts w:ascii="宋体" w:hAnsi="Calibri" w:eastAsia="宋体"/>
          <w:sz w:val="32"/>
          <w:szCs w:val="32"/>
        </w:rPr>
      </w:r>
      <w:r/>
    </w:p>
    <w:p>
      <w:r/>
      <w:r/>
    </w:p>
    <w:p>
      <w:pPr>
        <w:pStyle w:val="834"/>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841"/>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836"/>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bookmarkEnd w:id="3"/>
      <w:bookmarkEnd w:id="4"/>
      <w:r/>
    </w:p>
    <w:p>
      <w:pPr>
        <w:ind w:firstLine="480"/>
        <w:keepLines/>
        <w:keepNext/>
        <w:spacing w:line="520" w:lineRule="exact"/>
        <w:rPr>
          <w:rFonts w:ascii="宋体" w:hAnsi="宋体" w:cs="宋体"/>
          <w:b/>
          <w:bCs/>
          <w:sz w:val="24"/>
          <w:szCs w:val="24"/>
        </w:rPr>
      </w:pPr>
      <w:r/>
      <w:bookmarkStart w:id="21" w:name="_Toc120614214"/>
      <w:r/>
      <w:bookmarkEnd w:id="21"/>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Toc16938520"/>
      <w:r/>
      <w:bookmarkEnd w:id="22"/>
      <w:r/>
      <w:bookmarkStart w:id="23" w:name="_Hlt16619475"/>
      <w:r/>
      <w:bookmarkEnd w:id="23"/>
      <w:r/>
      <w:bookmarkStart w:id="24" w:name="_Toc458694821"/>
      <w:r/>
      <w:bookmarkEnd w:id="24"/>
      <w:r/>
      <w:bookmarkStart w:id="25" w:name="_Toc513029204"/>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16938523"/>
      <w:r/>
      <w:bookmarkEnd w:id="33"/>
      <w:r/>
      <w:bookmarkStart w:id="34" w:name="_Toc462564067"/>
      <w:r/>
      <w:bookmarkEnd w:id="34"/>
      <w:r/>
      <w:bookmarkStart w:id="35" w:name="_Toc513029207"/>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采购，</w:t>
      </w:r>
      <w:r>
        <w:rPr>
          <w:rFonts w:hint="eastAsia" w:ascii="宋体" w:hAnsi="宋体"/>
          <w:bCs/>
          <w:color w:val="auto"/>
          <w:sz w:val="24"/>
          <w:szCs w:val="24"/>
          <w:highlight w:val="none"/>
        </w:rPr>
        <w:t xml:space="preserve">按国家发改价格[2011]534号文件收取招标代理服务费，开标后由成交供应商在领取中标通知书前向招标代理机构一次性付清以上费用，请各单位在报价时予以综合考虑以上费用。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513029209"/>
      <w:r/>
      <w:bookmarkEnd w:id="37"/>
      <w:r/>
      <w:bookmarkStart w:id="38" w:name="_Toc20823281"/>
      <w:r/>
      <w:bookmarkEnd w:id="38"/>
      <w:r/>
      <w:bookmarkStart w:id="39" w:name="_Toc16938525"/>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eastAsia="宋体" w:cs="宋体"/>
          <w:color w:val="auto"/>
          <w:sz w:val="24"/>
          <w:szCs w:val="24"/>
          <w:highlight w:val="none"/>
        </w:rPr>
        <w:t xml:space="preserve">6、磋商文件构成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eastAsia="宋体" w:cs="宋体"/>
          <w:color w:val="auto"/>
          <w:sz w:val="24"/>
          <w:szCs w:val="24"/>
          <w:highlight w:val="none"/>
        </w:rPr>
        <w:t xml:space="preserve">7、磋商文件的澄清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16938528"/>
      <w:r/>
      <w:bookmarkEnd w:id="48"/>
      <w:r/>
      <w:bookmarkStart w:id="49" w:name="_Toc462564071"/>
      <w:r/>
      <w:bookmarkEnd w:id="49"/>
      <w:r/>
      <w:bookmarkStart w:id="50" w:name="_Toc513029212"/>
      <w:r/>
      <w:bookmarkEnd w:id="50"/>
      <w:r/>
      <w:bookmarkStart w:id="51" w:name="_Toc20823284"/>
      <w:r>
        <w:rPr>
          <w:rFonts w:hint="eastAsia" w:ascii="宋体" w:hAnsi="宋体" w:eastAsia="宋体" w:cs="宋体"/>
          <w:color w:val="auto"/>
          <w:sz w:val="24"/>
          <w:szCs w:val="24"/>
          <w:highlight w:val="none"/>
        </w:rPr>
        <w:t xml:space="preserve">8、磋商文件的澄清和修改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462564072"/>
      <w:r/>
      <w:bookmarkEnd w:id="52"/>
      <w:r/>
      <w:bookmarkStart w:id="53" w:name="_Toc16938529"/>
      <w:r/>
      <w:bookmarkEnd w:id="53"/>
      <w:r/>
      <w:bookmarkStart w:id="54" w:name="_Toc513029213"/>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462564073"/>
      <w:r/>
      <w:bookmarkEnd w:id="57"/>
      <w:r/>
      <w:bookmarkStart w:id="58" w:name="_Toc16938530"/>
      <w:r/>
      <w:bookmarkEnd w:id="58"/>
      <w:r/>
      <w:bookmarkStart w:id="59" w:name="_Toc513029214"/>
      <w:r/>
      <w:bookmarkEnd w:id="59"/>
      <w:r/>
      <w:bookmarkStart w:id="60" w:name="_Toc20823286"/>
      <w:r>
        <w:rPr>
          <w:rFonts w:hint="eastAsia" w:ascii="宋体" w:hAnsi="宋体" w:eastAsia="宋体" w:cs="宋体"/>
          <w:color w:val="auto"/>
          <w:sz w:val="24"/>
          <w:szCs w:val="24"/>
          <w:highlight w:val="none"/>
        </w:rPr>
        <w:t xml:space="preserve">9、响应文件的语言及度量衡单位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15"/>
      <w:r/>
      <w:bookmarkEnd w:id="61"/>
      <w:r/>
      <w:bookmarkStart w:id="62" w:name="_Toc16938531"/>
      <w:r/>
      <w:bookmarkEnd w:id="62"/>
      <w:r/>
      <w:bookmarkStart w:id="63" w:name="_Toc462564074"/>
      <w:r/>
      <w:bookmarkEnd w:id="63"/>
      <w:r/>
      <w:bookmarkStart w:id="64" w:name="_Toc20823287"/>
      <w:r>
        <w:rPr>
          <w:rFonts w:hint="eastAsia" w:ascii="宋体" w:hAnsi="宋体" w:eastAsia="宋体" w:cs="宋体"/>
          <w:color w:val="auto"/>
          <w:sz w:val="24"/>
          <w:szCs w:val="24"/>
          <w:highlight w:val="none"/>
        </w:rPr>
        <w:t xml:space="preserve">10、响应文件构成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513029219"/>
      <w:r/>
      <w:bookmarkEnd w:id="65"/>
      <w:r/>
      <w:bookmarkStart w:id="66" w:name="_Hlt26954838"/>
      <w:r/>
      <w:bookmarkEnd w:id="66"/>
      <w:r/>
      <w:bookmarkStart w:id="67" w:name="_Toc14577357"/>
      <w:r/>
      <w:bookmarkEnd w:id="67"/>
      <w:r/>
      <w:bookmarkStart w:id="68" w:name="_Hlt26668975"/>
      <w:r/>
      <w:bookmarkEnd w:id="68"/>
      <w:r/>
      <w:bookmarkStart w:id="69" w:name="_Toc49090508"/>
      <w:r/>
      <w:bookmarkEnd w:id="69"/>
      <w:r/>
      <w:bookmarkStart w:id="70" w:name="_Toc14577355"/>
      <w:r/>
      <w:bookmarkEnd w:id="70"/>
      <w:r/>
      <w:bookmarkStart w:id="71" w:name="_Hlt26670360"/>
      <w:r/>
      <w:bookmarkEnd w:id="71"/>
      <w:r/>
      <w:bookmarkStart w:id="72" w:name="_Toc14577354"/>
      <w:r/>
      <w:bookmarkEnd w:id="72"/>
      <w:r/>
      <w:bookmarkStart w:id="73" w:name="_Toc49090509"/>
      <w:r/>
      <w:bookmarkEnd w:id="73"/>
      <w:r/>
      <w:bookmarkStart w:id="74" w:name="_Toc513029216"/>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954731"/>
      <w:r/>
      <w:bookmarkEnd w:id="77"/>
      <w:r/>
      <w:bookmarkStart w:id="78" w:name="_Hlt26670482"/>
      <w:r/>
      <w:bookmarkEnd w:id="78"/>
      <w:r/>
      <w:bookmarkStart w:id="79" w:name="_Hlt26670486"/>
      <w:r/>
      <w:bookmarkEnd w:id="79"/>
      <w:r/>
      <w:bookmarkStart w:id="80"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eastAsia="宋体" w:cs="宋体"/>
          <w:color w:val="auto"/>
          <w:sz w:val="24"/>
          <w:szCs w:val="24"/>
          <w:highlight w:val="none"/>
        </w:rPr>
        <w:t xml:space="preserve">15、磋商响应函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eastAsia="宋体" w:cs="宋体"/>
          <w:color w:val="auto"/>
          <w:sz w:val="24"/>
          <w:szCs w:val="24"/>
          <w:highlight w:val="none"/>
        </w:rPr>
        <w:t xml:space="preserve">16、磋商有效期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16938540"/>
      <w:r/>
      <w:bookmarkEnd w:id="85"/>
      <w:r/>
      <w:bookmarkStart w:id="86" w:name="_Hlt26954739"/>
      <w:r/>
      <w:bookmarkEnd w:id="86"/>
      <w:r/>
      <w:bookmarkStart w:id="87" w:name="_Hlt26954852"/>
      <w:r/>
      <w:bookmarkEnd w:id="87"/>
      <w:r/>
      <w:bookmarkStart w:id="88" w:name="_Toc513029224"/>
      <w:r/>
      <w:bookmarkEnd w:id="88"/>
      <w:r/>
      <w:bookmarkStart w:id="89" w:name="_Toc20823296"/>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513029225"/>
      <w:r/>
      <w:bookmarkEnd w:id="91"/>
      <w:r/>
      <w:bookmarkStart w:id="92" w:name="_Toc462564084"/>
      <w:r/>
      <w:bookmarkEnd w:id="92"/>
      <w:r/>
      <w:bookmarkStart w:id="93" w:name="_Toc16938541"/>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eastAsia="宋体" w:cs="宋体"/>
          <w:color w:val="auto"/>
          <w:sz w:val="24"/>
          <w:szCs w:val="24"/>
          <w:highlight w:val="none"/>
        </w:rPr>
        <w:t xml:space="preserve">20、响应文件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513029228"/>
      <w:r/>
      <w:bookmarkEnd w:id="101"/>
      <w:r/>
      <w:bookmarkStart w:id="102" w:name="_Toc16938544"/>
      <w:r/>
      <w:bookmarkEnd w:id="102"/>
      <w:r/>
      <w:bookmarkStart w:id="103" w:name="_Toc20823300"/>
      <w:r>
        <w:rPr>
          <w:rFonts w:hint="eastAsia" w:ascii="宋体" w:hAnsi="宋体" w:eastAsia="宋体" w:cs="宋体"/>
          <w:color w:val="auto"/>
          <w:sz w:val="24"/>
          <w:szCs w:val="24"/>
          <w:highlight w:val="none"/>
        </w:rPr>
        <w:t xml:space="preserve">21、响应文件的撤回和修改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513029229"/>
      <w:r/>
      <w:bookmarkEnd w:id="104"/>
      <w:r/>
      <w:bookmarkStart w:id="105" w:name="_Toc20823301"/>
      <w:r/>
      <w:bookmarkEnd w:id="105"/>
      <w:r/>
      <w:bookmarkStart w:id="106" w:name="_Toc16938545"/>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513029230"/>
      <w:r/>
      <w:bookmarkEnd w:id="108"/>
      <w:r/>
      <w:bookmarkStart w:id="109" w:name="_Toc16938546"/>
      <w:r/>
      <w:bookmarkEnd w:id="109"/>
      <w:r/>
      <w:bookmarkStart w:id="110" w:name="_Toc20823302"/>
      <w:r>
        <w:rPr>
          <w:rFonts w:hint="eastAsia" w:ascii="宋体" w:hAnsi="宋体" w:eastAsia="宋体" w:cs="宋体"/>
          <w:color w:val="auto"/>
          <w:sz w:val="24"/>
          <w:szCs w:val="24"/>
          <w:highlight w:val="none"/>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16938547"/>
      <w:r/>
      <w:bookmarkEnd w:id="111"/>
      <w:r/>
      <w:bookmarkStart w:id="112" w:name="_Toc513029231"/>
      <w:r/>
      <w:bookmarkEnd w:id="112"/>
      <w:r/>
      <w:bookmarkStart w:id="113" w:name="_Toc20823303"/>
      <w:r>
        <w:rPr>
          <w:rFonts w:hint="eastAsia" w:ascii="宋体" w:hAnsi="宋体" w:eastAsia="宋体" w:cs="宋体"/>
          <w:color w:val="auto"/>
          <w:sz w:val="24"/>
          <w:szCs w:val="24"/>
          <w:highlight w:val="none"/>
        </w:rPr>
        <w:t xml:space="preserve">23、磋商小组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eastAsia="宋体" w:cs="宋体"/>
          <w:color w:val="auto"/>
          <w:sz w:val="24"/>
          <w:szCs w:val="24"/>
          <w:highlight w:val="none"/>
        </w:rPr>
        <w:t xml:space="preserve">25、评审过程中的澄清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16938549"/>
      <w:r/>
      <w:bookmarkEnd w:id="117"/>
      <w:r/>
      <w:bookmarkStart w:id="118" w:name="_Toc513029233"/>
      <w:r/>
      <w:bookmarkEnd w:id="118"/>
      <w:r/>
      <w:bookmarkStart w:id="119" w:name="_Toc20823305"/>
      <w:r>
        <w:rPr>
          <w:rFonts w:hint="eastAsia" w:ascii="宋体" w:hAnsi="宋体" w:eastAsia="宋体" w:cs="宋体"/>
          <w:color w:val="auto"/>
          <w:sz w:val="24"/>
          <w:szCs w:val="24"/>
          <w:highlight w:val="none"/>
        </w:rPr>
        <w:t xml:space="preserve">26、对响应文件的审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z w:val="24"/>
          <w:szCs w:val="24"/>
          <w:highlight w:val="none"/>
          <w:lang w:eastAsia="zh-CN"/>
        </w:rPr>
        <w:t xml:space="preserve">遵循苏财购〔2025〕62号文件《关于推动解决政府采购异常低价问题相关工作的通知》要求执行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文件中规定的其它实质性要求的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文件规定的其它无效情形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513029235"/>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38"/>
      <w:r/>
      <w:bookmarkEnd w:id="127"/>
      <w:r/>
      <w:bookmarkStart w:id="128" w:name="_Toc16938554"/>
      <w:r/>
      <w:bookmarkEnd w:id="128"/>
      <w:r/>
      <w:bookmarkStart w:id="129" w:name="_Toc20823310"/>
      <w:r>
        <w:rPr>
          <w:rFonts w:hint="eastAsia" w:ascii="宋体" w:hAnsi="宋体" w:eastAsia="宋体" w:cs="宋体"/>
          <w:color w:val="auto"/>
          <w:sz w:val="24"/>
          <w:szCs w:val="24"/>
          <w:highlight w:val="none"/>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eastAsia="宋体" w:cs="宋体"/>
          <w:color w:val="auto"/>
          <w:sz w:val="24"/>
          <w:szCs w:val="24"/>
          <w:highlight w:val="none"/>
        </w:rPr>
        <w:t xml:space="preserve">29、质疑处理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120614220"/>
      <w:r/>
      <w:bookmarkEnd w:id="131"/>
      <w:r/>
      <w:bookmarkStart w:id="132" w:name="_Toc513029236"/>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20823314"/>
      <w:r/>
      <w:bookmarkEnd w:id="138"/>
      <w:r/>
      <w:bookmarkStart w:id="139" w:name="_Toc479757207"/>
      <w:r/>
      <w:bookmarkEnd w:id="139"/>
      <w:r/>
      <w:bookmarkStart w:id="140" w:name="_Toc513029242"/>
      <w:r/>
      <w:bookmarkEnd w:id="140"/>
      <w:r/>
      <w:bookmarkStart w:id="141" w:name="_Toc16938558"/>
      <w:r/>
      <w:bookmarkEnd w:id="141"/>
      <w:r/>
      <w:bookmarkStart w:id="142" w:name="_Toc120614221"/>
      <w:r>
        <w:rPr>
          <w:rFonts w:hint="eastAsia" w:ascii="宋体" w:hAnsi="宋体" w:eastAsia="宋体" w:cs="宋体"/>
          <w:color w:val="auto"/>
          <w:sz w:val="24"/>
          <w:szCs w:val="24"/>
          <w:highlight w:val="none"/>
        </w:rPr>
        <w:t xml:space="preserve">33、政府采购履约资金扶持政策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462564139"/>
      <w:r/>
      <w:bookmarkEnd w:id="145"/>
      <w:r/>
      <w:bookmarkStart w:id="146" w:name="_Toc120614244"/>
      <w:r/>
      <w:bookmarkEnd w:id="146"/>
      <w:r/>
      <w:bookmarkStart w:id="147" w:name="_Toc16938590"/>
      <w:r/>
      <w:bookmarkEnd w:id="147"/>
      <w:r/>
      <w:bookmarkStart w:id="148" w:name="_Toc16938559"/>
      <w:r/>
      <w:bookmarkEnd w:id="148"/>
      <w:r/>
      <w:bookmarkStart w:id="149" w:name="_Hlt16619350"/>
      <w:r/>
      <w:bookmarkEnd w:id="149"/>
      <w:r/>
      <w:bookmarkStart w:id="150" w:name="_Toc20823346"/>
      <w:r/>
      <w:bookmarkEnd w:id="150"/>
      <w:r/>
      <w:bookmarkStart w:id="151" w:name="_Hlt16619369"/>
      <w:r/>
      <w:bookmarkEnd w:id="151"/>
      <w:r/>
      <w:bookmarkStart w:id="152" w:name="_Toc513029243"/>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7878"/>
      <w:r/>
      <w:bookmarkStart w:id="155" w:name="_Toc328388072"/>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8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1、本合同范围的货物，应由乙方直接供应，不得转让他人供应；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1、交货期：合同签订生效后，乙方必须在日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eastAsia="宋体" w:cs="宋体"/>
          <w:color w:val="000000"/>
          <w:sz w:val="22"/>
          <w:szCs w:val="16"/>
          <w:shd w:val="clear" w:color="auto" w:fill="ffffff"/>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3、甲方对乙方提供的货物在使用前进行调试时，乙方需负责安装并培训甲方的使用操作人员，并协助甲方一起调试，直到符合技术要求，甲方才做最终验收。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1、合同经双方法定代表人或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2、本合同未尽事宜，遵照《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26554093"/>
      <w:r/>
      <w:bookmarkEnd w:id="158"/>
      <w:r/>
      <w:bookmarkStart w:id="159" w:name="_Toc49090575"/>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cyan"/>
        </w:rPr>
        <w:t xml:space="preserve">“双温龙头”、“感应龙头”、“双温花洒龙头”、“厨房花洒洗地龙头”（水嘴）</w:t>
      </w:r>
      <w:r>
        <w:rPr>
          <w:rFonts w:hint="eastAsia" w:ascii="Times New Roman" w:hAnsi="Times New Roman" w:eastAsia="宋体" w:cs="Times New Roman"/>
          <w:b w:val="0"/>
          <w:bCs/>
          <w:strike w:val="0"/>
          <w:color w:val="000000"/>
          <w:sz w:val="24"/>
          <w:szCs w:val="24"/>
        </w:rPr>
        <w:t xml:space="preserve">须提供国家确定的认证机构出具的、处于有效期之内的</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cyan"/>
          <w:lang w:eastAsia="zh-CN"/>
        </w:rPr>
        <w:t xml:space="preserve">“</w:t>
      </w:r>
      <w:r>
        <w:rPr>
          <w:rFonts w:hint="eastAsia" w:ascii="Times New Roman" w:hAnsi="Times New Roman" w:eastAsia="宋体" w:cs="Times New Roman"/>
          <w:b w:val="0"/>
          <w:bCs/>
          <w:strike w:val="0"/>
          <w:color w:val="auto"/>
          <w:sz w:val="24"/>
          <w:szCs w:val="24"/>
          <w:highlight w:val="cyan"/>
          <w:lang w:eastAsia="zh-CN"/>
        </w:rPr>
        <w:t xml:space="preserve">电热水</w:t>
      </w:r>
      <w:r>
        <w:rPr>
          <w:rFonts w:hint="eastAsia" w:ascii="Times New Roman" w:hAnsi="Times New Roman" w:eastAsia="宋体" w:cs="Times New Roman"/>
          <w:b w:val="0"/>
          <w:bCs/>
          <w:strike w:val="0"/>
          <w:color w:val="000000"/>
          <w:sz w:val="24"/>
          <w:szCs w:val="24"/>
          <w:highlight w:val="cyan"/>
          <w:lang w:eastAsia="zh-CN"/>
        </w:rPr>
        <w:t xml:space="preserve">器”</w:t>
      </w:r>
      <w:r>
        <w:rPr>
          <w:rFonts w:hint="eastAsia" w:ascii="Times New Roman" w:hAnsi="Times New Roman" w:eastAsia="宋体" w:cs="Times New Roman"/>
          <w:b w:val="0"/>
          <w:bCs/>
          <w:strike w:val="0"/>
          <w:color w:val="000000"/>
          <w:sz w:val="24"/>
          <w:szCs w:val="24"/>
          <w:highlight w:val="cyan"/>
        </w:rPr>
        <w:t xml:space="preserve">须</w:t>
      </w:r>
      <w:r>
        <w:rPr>
          <w:rFonts w:hint="eastAsia" w:ascii="Times New Roman" w:hAnsi="Times New Roman" w:eastAsia="宋体" w:cs="Times New Roman"/>
          <w:b w:val="0"/>
          <w:bCs/>
          <w:strike w:val="0"/>
          <w:color w:val="000000"/>
          <w:sz w:val="24"/>
          <w:szCs w:val="24"/>
          <w:highlight w:val="cyan"/>
          <w:lang w:val="en-US" w:eastAsia="zh-CN"/>
        </w:rPr>
        <w:t xml:space="preserve">提供</w:t>
      </w:r>
      <w:r>
        <w:rPr>
          <w:rFonts w:hint="eastAsia" w:ascii="Times New Roman" w:hAnsi="Times New Roman" w:eastAsia="宋体" w:cs="Times New Roman"/>
          <w:b w:val="0"/>
          <w:bCs/>
          <w:strike w:val="0"/>
          <w:color w:val="000000"/>
          <w:sz w:val="24"/>
          <w:szCs w:val="24"/>
          <w:highlight w:val="cyan"/>
        </w:rPr>
        <w:t xml:space="preserve">《节能产品认证证书》</w:t>
      </w:r>
      <w:r>
        <w:rPr>
          <w:rFonts w:hint="eastAsia" w:ascii="Times New Roman" w:hAnsi="Times New Roman" w:cs="Times New Roman"/>
          <w:b w:val="0"/>
          <w:bCs/>
          <w:strike w:val="0"/>
          <w:color w:val="000000"/>
          <w:sz w:val="24"/>
          <w:szCs w:val="24"/>
          <w:highlight w:val="cyan"/>
          <w:lang w:eastAsia="zh-CN"/>
        </w:rPr>
        <w:t xml:space="preserve">，</w:t>
      </w:r>
      <w:r>
        <w:rPr>
          <w:rFonts w:hint="eastAsia" w:ascii="Times New Roman" w:hAnsi="Times New Roman" w:cs="Times New Roman"/>
          <w:b w:val="0"/>
          <w:bCs/>
          <w:strike w:val="0"/>
          <w:color w:val="000000"/>
          <w:sz w:val="24"/>
          <w:szCs w:val="24"/>
          <w:highlight w:val="cyan"/>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本项目设备清单中：“15L小厨宝（储水式电热水器）”、“120L电热水器（储水式热水器）”、“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841"/>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cyan"/>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1、采用304优质不锈钢型材制造；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rPr>
                <w:rFonts w:hint="eastAsia" w:ascii="宋体" w:hAnsi="宋体" w:cs="宋体"/>
                <w:i w:val="0"/>
                <w:iCs w:val="0"/>
                <w:color w:val="auto"/>
                <w:sz w:val="20"/>
                <w:szCs w:val="20"/>
                <w:highlight w:val="cyan"/>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缸豆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1、内、外优质不锈钢，箱体采用C5H10环保型发泡剂整体式发泡；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4、设备使用优质不锈钢（包含管线、喷嘴帽）；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cyan"/>
                <w:u w:val="none"/>
                <w:lang w:val="en-US"/>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4、</w:t>
            </w:r>
            <w:r>
              <w:rPr>
                <w:rFonts w:hint="eastAsia" w:asciiTheme="minorEastAsia" w:hAnsiTheme="minorEastAsia" w:eastAsiaTheme="minorEastAsia" w:cstheme="minorEastAsia"/>
                <w:i w:val="0"/>
                <w:iCs w:val="0"/>
                <w:color w:val="auto"/>
                <w:sz w:val="20"/>
                <w:szCs w:val="20"/>
                <w:highlight w:val="cyan"/>
                <w:u w:val="none"/>
              </w:rPr>
              <w:t xml:space="preserve">产品符合GB30531-2014《商用燃气灶具能效限定值及能效等级》</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rPr>
                <w:rFonts w:hint="eastAsia" w:asciiTheme="minorEastAsia" w:hAnsiTheme="minorEastAsia" w:eastAsiaTheme="minorEastAsia" w:cstheme="minorEastAsia"/>
                <w:i w:val="0"/>
                <w:iCs w:val="0"/>
                <w:color w:val="auto"/>
                <w:sz w:val="20"/>
                <w:szCs w:val="20"/>
                <w:highlight w:val="cyan"/>
                <w:u w:val="none"/>
              </w:rPr>
              <w:t xml:space="preserve">所投设备热效率</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60</w:t>
            </w:r>
            <w:r>
              <w:rPr>
                <w:rFonts w:hint="eastAsia" w:asciiTheme="minorEastAsia" w:hAnsiTheme="minorEastAsia" w:eastAsiaTheme="minorEastAsia" w:cstheme="minorEastAsia"/>
                <w:i w:val="0"/>
                <w:iCs w:val="0"/>
                <w:color w:val="auto"/>
                <w:sz w:val="20"/>
                <w:szCs w:val="20"/>
                <w:highlight w:val="cyan"/>
                <w:u w:val="none"/>
              </w:rPr>
              <w:t xml:space="preserve">%以上</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提供商用燃气灶具能源效率检测报告。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5</w:t>
            </w:r>
            <w:r>
              <w:rPr>
                <w:rFonts w:hint="eastAsia" w:asciiTheme="minorEastAsia" w:hAnsiTheme="minorEastAsia" w:eastAsiaTheme="minorEastAsia" w:cstheme="minorEastAsia"/>
                <w:i w:val="0"/>
                <w:iCs w:val="0"/>
                <w:color w:val="auto"/>
                <w:sz w:val="20"/>
                <w:szCs w:val="20"/>
                <w:highlight w:val="cyan"/>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rPr>
                <w:rFonts w:hint="eastAsia" w:asciiTheme="minorEastAsia" w:hAnsiTheme="minorEastAsia" w:eastAsiaTheme="minorEastAsia" w:cstheme="minorEastAsia"/>
                <w:i w:val="0"/>
                <w:iCs w:val="0"/>
                <w:color w:val="auto"/>
                <w:sz w:val="20"/>
                <w:szCs w:val="20"/>
                <w:highlight w:val="cyan"/>
                <w:u w:val="none"/>
              </w:rPr>
              <w:t xml:space="preserve">所投设备额定热负荷</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48</w:t>
            </w:r>
            <w:r>
              <w:rPr>
                <w:rFonts w:hint="eastAsia" w:asciiTheme="minorEastAsia" w:hAnsiTheme="minorEastAsia" w:eastAsiaTheme="minorEastAsia" w:cstheme="minorEastAsia"/>
                <w:i w:val="0"/>
                <w:iCs w:val="0"/>
                <w:color w:val="auto"/>
                <w:sz w:val="20"/>
                <w:szCs w:val="20"/>
                <w:highlight w:val="cyan"/>
                <w:u w:val="none"/>
              </w:rPr>
              <w:t xml:space="preserve">KW，热负荷准确度±10%以内</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1、额定电压：AC220V-240V，额定频率：50/60Hz，额定热负荷：35kW*2，额定功率：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 ，一键启动；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48</w:t>
            </w:r>
            <w:r>
              <w:rPr>
                <w:rFonts w:hint="eastAsia" w:asciiTheme="minorEastAsia" w:hAnsiTheme="minorEastAsia" w:eastAsiaTheme="minorEastAsia" w:cstheme="minorEastAsia"/>
                <w:i w:val="0"/>
                <w:iCs w:val="0"/>
                <w:color w:val="auto"/>
                <w:sz w:val="20"/>
                <w:szCs w:val="20"/>
                <w:highlight w:val="cyan"/>
                <w:u w:val="none"/>
              </w:rPr>
              <w:t xml:space="preserve">KW</w:t>
            </w:r>
            <w:r>
              <w:rPr>
                <w:rFonts w:hint="eastAsia" w:asciiTheme="minorEastAsia" w:hAnsiTheme="minorEastAsia" w:eastAsiaTheme="minorEastAsia" w:cstheme="minorEastAsia"/>
                <w:i w:val="0"/>
                <w:iCs w:val="0"/>
                <w:color w:val="auto"/>
                <w:sz w:val="20"/>
                <w:szCs w:val="20"/>
                <w:highlight w:val="none"/>
                <w:u w:val="none"/>
              </w:rPr>
              <w:t xml:space="preserve">*2，热负荷准确度±10%以内</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none"/>
                <w:u w:val="none"/>
              </w:rPr>
              <w:t xml:space="preserve">、额定电压：AC220V-240V，额定频率：50/60Hz，额定热负荷：35kW，额定功率：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2、优质SUS304-2B不锈钢板制造，面板、前脸板厚δ＝1.2mm,台面一次压制成型；外旁板、后立板201J1/J4，板厚δ＝1.0mm,龙骨架国标不锈钢方管25*38厚0.8mm；衬板电解镀锌钢板厚δ＝1.5mm,灶身双层热轧钢板；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cyan"/>
                <w:u w:val="none"/>
              </w:rPr>
              <w:suppressLineNumbers w:val="0"/>
            </w:pPr>
            <w:r>
              <w:rPr>
                <w:rFonts w:hint="eastAsia" w:asciiTheme="minorEastAsia" w:hAnsiTheme="minorEastAsia" w:eastAsiaTheme="minorEastAsia" w:cstheme="minorEastAsia"/>
                <w:i w:val="0"/>
                <w:iCs w:val="0"/>
                <w:color w:val="000000"/>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6、</w:t>
            </w:r>
            <w:r>
              <w:rPr>
                <w:rFonts w:hint="eastAsia" w:asciiTheme="minorEastAsia" w:hAnsiTheme="minorEastAsia" w:eastAsiaTheme="minorEastAsia" w:cstheme="minorEastAsia"/>
                <w:i w:val="0"/>
                <w:iCs w:val="0"/>
                <w:color w:val="auto"/>
                <w:sz w:val="20"/>
                <w:szCs w:val="20"/>
                <w:highlight w:val="cyan"/>
                <w:u w:val="none"/>
              </w:rPr>
              <w:t xml:space="preserve">产品符合GB30531-2014《商用燃气灶具能效限定值及能效等级》</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rPr>
                <w:rFonts w:hint="eastAsia" w:asciiTheme="minorEastAsia" w:hAnsiTheme="minorEastAsia" w:eastAsiaTheme="minorEastAsia" w:cstheme="minorEastAsia"/>
                <w:i w:val="0"/>
                <w:iCs w:val="0"/>
                <w:color w:val="auto"/>
                <w:sz w:val="20"/>
                <w:szCs w:val="20"/>
                <w:highlight w:val="cyan"/>
                <w:u w:val="none"/>
              </w:rPr>
              <w:t xml:space="preserve">所投设备热效率</w:t>
            </w:r>
            <w:r>
              <w:rPr>
                <w:rFonts w:hint="eastAsia" w:asciiTheme="minorEastAsia" w:hAnsiTheme="minorEastAsia" w:eastAsiaTheme="minorEastAsia" w:cstheme="minorEastAsia"/>
                <w:i w:val="0"/>
                <w:iCs w:val="0"/>
                <w:strike w:val="0"/>
                <w:color w:val="auto"/>
                <w:sz w:val="20"/>
                <w:szCs w:val="20"/>
                <w:highlight w:val="cyan"/>
                <w:u w:val="none"/>
                <w:lang w:val="en-US" w:eastAsia="zh-CN"/>
              </w:rPr>
              <w:t xml:space="preserve">45</w:t>
            </w:r>
            <w:r>
              <w:rPr>
                <w:rFonts w:hint="eastAsia" w:asciiTheme="minorEastAsia" w:hAnsiTheme="minorEastAsia" w:eastAsiaTheme="minorEastAsia" w:cstheme="minorEastAsia"/>
                <w:i w:val="0"/>
                <w:iCs w:val="0"/>
                <w:strike w:val="0"/>
                <w:color w:val="auto"/>
                <w:sz w:val="20"/>
                <w:szCs w:val="20"/>
                <w:highlight w:val="cyan"/>
                <w:u w:val="none"/>
              </w:rPr>
              <w:t xml:space="preserve">%以上</w:t>
            </w:r>
            <w:r>
              <w:rPr>
                <w:rFonts w:hint="eastAsia" w:asciiTheme="minorEastAsia" w:hAnsiTheme="minorEastAsia" w:eastAsiaTheme="minorEastAsia" w:cstheme="minorEastAsia"/>
                <w:i w:val="0"/>
                <w:iCs w:val="0"/>
                <w:color w:val="auto"/>
                <w:sz w:val="20"/>
                <w:szCs w:val="20"/>
                <w:highlight w:val="cyan"/>
                <w:u w:val="none"/>
                <w:lang w:eastAsia="zh-CN"/>
              </w:rPr>
              <w:t xml:space="preserve">。</w:t>
            </w:r>
            <w:r>
              <w:rPr>
                <w:rFonts w:hint="eastAsia" w:asciiTheme="minorEastAsia" w:hAnsiTheme="minorEastAsia" w:eastAsiaTheme="minorEastAsia" w:cstheme="minorEastAsia"/>
                <w:i w:val="0"/>
                <w:iCs w:val="0"/>
                <w:strike w:val="0"/>
                <w:color w:val="auto"/>
                <w:sz w:val="20"/>
                <w:szCs w:val="20"/>
                <w:highlight w:val="cyan"/>
                <w:u w:val="none"/>
                <w:lang w:val="en-US" w:eastAsia="zh-CN"/>
              </w:rPr>
              <w:t xml:space="preserve">提供商用燃气灶具能源效率检测报告。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cyan"/>
                <w:u w:val="none"/>
              </w:rPr>
              <w:t xml:space="preserve">★</w:t>
            </w:r>
            <w:r>
              <w:rPr>
                <w:rFonts w:hint="eastAsia" w:asciiTheme="minorEastAsia" w:hAnsiTheme="minorEastAsia" w:eastAsiaTheme="minorEastAsia" w:cstheme="minorEastAsia"/>
                <w:i w:val="0"/>
                <w:iCs w:val="0"/>
                <w:color w:val="000000"/>
                <w:sz w:val="20"/>
                <w:szCs w:val="20"/>
                <w:highlight w:val="cyan"/>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000000"/>
                <w:sz w:val="20"/>
                <w:szCs w:val="20"/>
                <w:highlight w:val="cyan"/>
                <w:u w:val="none"/>
                <w:lang w:val="en-US" w:eastAsia="zh-CN"/>
              </w:rPr>
              <w:t xml:space="preserve">42</w:t>
            </w:r>
            <w:r>
              <w:rPr>
                <w:rFonts w:hint="eastAsia" w:asciiTheme="minorEastAsia" w:hAnsiTheme="minorEastAsia" w:eastAsiaTheme="minorEastAsia" w:cstheme="minorEastAsia"/>
                <w:i w:val="0"/>
                <w:iCs w:val="0"/>
                <w:color w:val="000000"/>
                <w:sz w:val="20"/>
                <w:szCs w:val="20"/>
                <w:highlight w:val="cyan"/>
                <w:u w:val="none"/>
              </w:rPr>
              <w:t xml:space="preserve">KW</w:t>
            </w:r>
            <w:r>
              <w:rPr>
                <w:rFonts w:hint="eastAsia" w:asciiTheme="minorEastAsia" w:hAnsiTheme="minorEastAsia" w:eastAsiaTheme="minorEastAsia" w:cstheme="minorEastAsia"/>
                <w:i w:val="0"/>
                <w:iCs w:val="0"/>
                <w:color w:val="000000"/>
                <w:sz w:val="20"/>
                <w:szCs w:val="20"/>
                <w:highlight w:val="none"/>
                <w:u w:val="none"/>
              </w:rPr>
              <w:t xml:space="preserve">，热负荷准确度±10%以内</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8</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cyan"/>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cyan"/>
                <w:u w:val="none"/>
              </w:rPr>
              <w:t xml:space="preserve">0mm*</w:t>
            </w:r>
            <w:r>
              <w:rPr>
                <w:rFonts w:hint="eastAsia" w:asciiTheme="minorEastAsia" w:hAnsiTheme="minorEastAsia" w:eastAsiaTheme="minorEastAsia" w:cstheme="minorEastAsia"/>
                <w:i w:val="0"/>
                <w:iCs w:val="0"/>
                <w:strike w:val="0"/>
                <w:color w:val="auto"/>
                <w:sz w:val="20"/>
                <w:szCs w:val="20"/>
                <w:highlight w:val="cyan"/>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cyan"/>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2、优质SUS304-2B不锈钢板制造，面板板厚不低于δ=1.0mm；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rPr>
              <w:t xml:space="preserve">▲</w:t>
            </w:r>
            <w:r>
              <w:rPr>
                <w:rFonts w:hint="eastAsia" w:asciiTheme="minorEastAsia" w:hAnsiTheme="minorEastAsia" w:eastAsiaTheme="minorEastAsia" w:cstheme="minorEastAsia"/>
                <w:b w:val="0"/>
                <w:bCs w:val="0"/>
                <w:i w:val="0"/>
                <w:iCs w:val="0"/>
                <w:color w:val="auto"/>
                <w:sz w:val="20"/>
                <w:szCs w:val="20"/>
                <w:highlight w:val="cyan"/>
                <w:u w:val="none"/>
                <w:lang w:val="en-US" w:eastAsia="zh-CN"/>
              </w:rPr>
              <w:t xml:space="preserve">10、</w:t>
            </w:r>
            <w:r>
              <w:rPr>
                <w:rFonts w:hint="eastAsia" w:asciiTheme="minorEastAsia" w:hAnsiTheme="minorEastAsia" w:eastAsiaTheme="minorEastAsia" w:cstheme="minorEastAsia"/>
                <w:i w:val="0"/>
                <w:iCs w:val="0"/>
                <w:color w:val="auto"/>
                <w:sz w:val="20"/>
                <w:szCs w:val="20"/>
                <w:highlight w:val="cyan"/>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400*120*170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3、配优质耐高温材料及密封条；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2.规格:100kg洗米机；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cyan"/>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red"/>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cya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3.噪声：60dB；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3、噪声：62dB；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 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3.噪声：59dB；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 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7500*900*1980</w:t>
            </w:r>
            <w:r>
              <w:rPr>
                <w:rFonts w:hint="eastAsia" w:ascii="宋体" w:hAnsi="宋体" w:cs="宋体"/>
                <w:i w:val="0"/>
                <w:iCs w:val="0"/>
                <w:color w:val="auto"/>
                <w:sz w:val="20"/>
                <w:szCs w:val="20"/>
                <w:highlight w:val="cyan"/>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优质高性能（国标15米扬程）不锈钢食品泵；电器采用知名品牌电器,筛网为激光冲孔，K系列变速箱。轴承采用进口不锈钢轴承；▲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6、净重：3100g。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2、功率：≥1300W；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采用优质304不锈钢冷轧板制造，标厚1.2mm；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储水式电热水器，≥15升容量，内胆外壳采用304S不锈钢,内胆内部采用搪瓷工艺防腐；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cyan"/>
                <w:u w:val="none"/>
                <w:lang w:val="en-US" w:eastAsia="zh-CN" w:bidi="ar"/>
              </w:rPr>
              <w:t xml:space="preserve">220V/</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1500W功率，能效等级：二级；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1、采用优质304不锈钢冷轧板制造；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7、净重：1280g。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cyan"/>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4、采用优质绝缘陶瓷，有效杜绝爬电现象，采用优质不锈钢钨丝，使放电更加均匀，充分使油烟核电吸附，加强处理率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cya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cyan"/>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刀身为钢采用发蓝技术，剪刃经多道工序精抛、精磨而彻成,美观大方，不易生锈。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ascii="Times New Roman" w:hAnsi="Times New Roman" w:eastAsia="宋体" w:cs="Times New Roman"/>
          <w:b w:val="0"/>
          <w:bCs/>
          <w:color w:val="000000"/>
          <w:sz w:val="24"/>
          <w:szCs w:val="24"/>
        </w:rPr>
        <w:t xml:space="preserve">1</w:t>
      </w:r>
      <w:r>
        <w:rPr>
          <w:rFonts w:hint="eastAsia" w:ascii="Times New Roman" w:hAnsi="Times New Roman" w:eastAsia="宋体" w:cs="Times New Roman"/>
          <w:b w:val="0"/>
          <w:bCs/>
          <w:color w:val="000000"/>
          <w:sz w:val="24"/>
          <w:szCs w:val="24"/>
          <w:lang w:eastAsia="zh-CN"/>
        </w:rPr>
        <w:t xml:space="preserve">.</w:t>
      </w:r>
      <w:r>
        <w:rPr>
          <w:rFonts w:ascii="Times New Roman" w:hAnsi="Times New Roman" w:eastAsia="宋体" w:cs="Times New Roman"/>
          <w:b w:val="0"/>
          <w:bCs/>
          <w:color w:val="000000"/>
          <w:sz w:val="24"/>
          <w:szCs w:val="24"/>
        </w:rPr>
        <w:t xml:space="preserve">在发货前，成交供应商应对货物的质量、规格、性能、数量等进行准确而全面的检验，确保提供的所有产品均为合格产品，并满足招标文件要求。参与验收的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887"/>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（遵循苏财购〔2025〕62号文件《关于推动解决政府采购异常低价问题相关工作的通知》要求执行）</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841"/>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color w:val="000000" w:themeColor="text1"/>
                <w:highlight w:val="white"/>
              </w:rPr>
              <w:t xml:space="preserve">(</w:t>
            </w:r>
            <w:r>
              <w:rPr>
                <w:rFonts w:hint="eastAsia"/>
                <w:color w:val="000000" w:themeColor="text1"/>
                <w:highlight w:val="white"/>
                <w:lang w:val="en-US" w:eastAsia="zh-CN"/>
              </w:rPr>
              <w:t xml:space="preserve">27</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901"/>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901"/>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901"/>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901"/>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901"/>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9401"/>
      <w:r/>
      <w:bookmarkStart w:id="164"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Hlt26671244"/>
      <w:r/>
      <w:bookmarkEnd w:id="165"/>
      <w:r/>
      <w:bookmarkStart w:id="166" w:name="_Toc26554094"/>
      <w:r/>
      <w:bookmarkEnd w:id="166"/>
      <w:r/>
      <w:bookmarkStart w:id="167" w:name="_Hlt26955039"/>
      <w:r/>
      <w:bookmarkEnd w:id="167"/>
      <w:r/>
      <w:bookmarkStart w:id="168" w:name="_Toc120614282"/>
      <w:r/>
      <w:bookmarkEnd w:id="168"/>
      <w:r/>
      <w:bookmarkStart w:id="169" w:name="_Toc49090576"/>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格式3__银行出具的资信证明"/>
      <w:r/>
      <w:bookmarkEnd w:id="172"/>
      <w:r/>
      <w:bookmarkStart w:id="173" w:name="_Hlt26671380"/>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847"/>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847"/>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847"/>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6"/>
        <w:ind w:firstLine="400"/>
        <w:widowControl w:val="off"/>
        <w:rPr>
          <w:color w:val="auto"/>
        </w:rPr>
      </w:pPr>
      <w:r>
        <w:rPr>
          <w:color w:val="auto"/>
        </w:rPr>
      </w:r>
      <w:r/>
    </w:p>
    <w:p>
      <w:pPr>
        <w:rPr>
          <w:color w:val="auto"/>
        </w:rPr>
      </w:pPr>
      <w:r>
        <w:rPr>
          <w:color w:val="auto"/>
        </w:rPr>
      </w:r>
      <w:r/>
    </w:p>
    <w:p>
      <w:pPr>
        <w:pStyle w:val="866"/>
        <w:ind w:firstLine="400"/>
        <w:widowControl w:val="off"/>
        <w:rPr>
          <w:color w:val="auto"/>
        </w:rPr>
      </w:pPr>
      <w:r>
        <w:rPr>
          <w:color w:val="auto"/>
        </w:rPr>
      </w:r>
      <w:r/>
    </w:p>
    <w:p>
      <w:pPr>
        <w:rPr>
          <w:color w:val="auto"/>
        </w:rPr>
      </w:pPr>
      <w:r>
        <w:rPr>
          <w:color w:val="auto"/>
        </w:rPr>
      </w:r>
      <w:r/>
    </w:p>
    <w:p>
      <w:pPr>
        <w:pStyle w:val="866"/>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841"/>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15L小厨宝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45"/>
      <w:r/>
      <w:bookmarkEnd w:id="175"/>
      <w:r/>
      <w:bookmarkStart w:id="176" w:name="_Hlt26955052"/>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pStyle w:val="848"/>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841"/>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6"/>
        <w:ind w:firstLine="400"/>
        <w:widowControl w:val="off"/>
        <w:rPr>
          <w:color w:val="auto"/>
        </w:rPr>
      </w:pPr>
      <w:r>
        <w:rPr>
          <w:color w:val="auto"/>
        </w:rPr>
      </w:r>
      <w:r/>
    </w:p>
    <w:p>
      <w:pPr>
        <w:rPr>
          <w:color w:val="auto"/>
        </w:rPr>
      </w:pPr>
      <w:r>
        <w:rPr>
          <w:color w:val="auto"/>
        </w:rPr>
      </w:r>
      <w:r/>
    </w:p>
    <w:p>
      <w:pPr>
        <w:pStyle w:val="866"/>
        <w:ind w:firstLine="400"/>
        <w:widowControl w:val="off"/>
        <w:rPr>
          <w:color w:val="auto"/>
        </w:rPr>
      </w:pPr>
      <w:r>
        <w:rPr>
          <w:color w:val="auto"/>
        </w:rPr>
      </w:r>
      <w:r/>
    </w:p>
    <w:p>
      <w:pPr>
        <w:rPr>
          <w:color w:val="auto"/>
        </w:rPr>
      </w:pPr>
      <w:r>
        <w:rPr>
          <w:color w:val="auto"/>
        </w:rPr>
      </w:r>
      <w:r/>
    </w:p>
    <w:p>
      <w:pPr>
        <w:pStyle w:val="866"/>
        <w:ind w:firstLine="400"/>
        <w:widowControl w:val="off"/>
        <w:rPr>
          <w:color w:val="auto"/>
        </w:rPr>
      </w:pPr>
      <w:r>
        <w:rPr>
          <w:color w:val="auto"/>
        </w:rPr>
      </w:r>
      <w:r/>
    </w:p>
    <w:p>
      <w:pPr>
        <w:rPr>
          <w:color w:val="auto"/>
        </w:rPr>
      </w:pPr>
      <w:r>
        <w:rPr>
          <w:color w:val="auto"/>
        </w:rPr>
      </w:r>
      <w:r/>
    </w:p>
    <w:p>
      <w:pPr>
        <w:pStyle w:val="866"/>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p>
    <w:tbl>
      <w:tblPr>
        <w:tblStyle w:val="841"/>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782999"/>
            <w:r/>
            <w:bookmarkEnd w:id="178"/>
            <w:r/>
            <w:bookmarkStart w:id="179" w:name="_Hlt26671372"/>
            <w:r/>
            <w:bookmarkEnd w:id="179"/>
            <w:r/>
            <w:bookmarkStart w:id="180" w:name="_Hlt26609391"/>
            <w:r/>
            <w:bookmarkEnd w:id="180"/>
            <w:r/>
            <w:bookmarkStart w:id="181" w:name="_Hlt26955064"/>
            <w:r/>
            <w:bookmarkEnd w:id="181"/>
            <w:r/>
            <w:bookmarkStart w:id="182" w:name="_Hlt26955056"/>
            <w:r/>
            <w:bookmarkEnd w:id="182"/>
            <w:r/>
            <w:bookmarkStart w:id="183" w:name="_Hlt26671343"/>
            <w:r/>
            <w:bookmarkEnd w:id="183"/>
            <w:r/>
            <w:bookmarkStart w:id="184" w:name="_Hlt24879081"/>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spacing w:line="560" w:lineRule="exact"/>
        <w:rPr>
          <w:rFonts w:cs="宋体"/>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2"/>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2"/>
                      <w:jc w:val="center"/>
                    </w:pPr>
                    <w:r/>
                    <w:r/>
                  </w:p>
                  <w:p>
                    <w:r/>
                    <w:r/>
                  </w:p>
                </w:txbxContent>
              </v:textbox>
            </v:shape>
          </w:pict>
        </mc:Fallback>
      </mc:AlternateContent>
    </w:r>
    <w:r/>
  </w:p>
  <w:p>
    <w:pPr>
      <w:pStyle w:val="8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852"/>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852"/>
                      <w:jc w:val="center"/>
                    </w:pPr>
                    <w:r/>
                    <w:r/>
                  </w:p>
                  <w:p>
                    <w:r/>
                    <w:r/>
                  </w:p>
                </w:txbxContent>
              </v:textbox>
            </v:shape>
          </w:pict>
        </mc:Fallback>
      </mc:AlternateContent>
    </w:r>
    <w:r/>
  </w:p>
  <w:p>
    <w:pPr>
      <w:pStyle w:val="85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0"/>
    <w:link w:val="834"/>
    <w:uiPriority w:val="9"/>
    <w:rPr>
      <w:rFonts w:ascii="Arial" w:hAnsi="Arial" w:eastAsia="Arial" w:cs="Arial"/>
      <w:sz w:val="40"/>
      <w:szCs w:val="40"/>
    </w:rPr>
  </w:style>
  <w:style w:type="character" w:styleId="15">
    <w:name w:val="Heading 2 Char"/>
    <w:basedOn w:val="840"/>
    <w:link w:val="835"/>
    <w:uiPriority w:val="9"/>
    <w:rPr>
      <w:rFonts w:ascii="Arial" w:hAnsi="Arial" w:eastAsia="Arial" w:cs="Arial"/>
      <w:sz w:val="34"/>
    </w:rPr>
  </w:style>
  <w:style w:type="character" w:styleId="17">
    <w:name w:val="Heading 3 Char"/>
    <w:basedOn w:val="840"/>
    <w:link w:val="836"/>
    <w:uiPriority w:val="9"/>
    <w:rPr>
      <w:rFonts w:ascii="Arial" w:hAnsi="Arial" w:eastAsia="Arial" w:cs="Arial"/>
      <w:sz w:val="30"/>
      <w:szCs w:val="30"/>
    </w:rPr>
  </w:style>
  <w:style w:type="character" w:styleId="19">
    <w:name w:val="Heading 4 Char"/>
    <w:basedOn w:val="840"/>
    <w:link w:val="837"/>
    <w:uiPriority w:val="9"/>
    <w:rPr>
      <w:rFonts w:ascii="Arial" w:hAnsi="Arial" w:eastAsia="Arial" w:cs="Arial"/>
      <w:b/>
      <w:bCs/>
      <w:sz w:val="26"/>
      <w:szCs w:val="26"/>
    </w:rPr>
  </w:style>
  <w:style w:type="character" w:styleId="21">
    <w:name w:val="Heading 5 Char"/>
    <w:basedOn w:val="840"/>
    <w:link w:val="838"/>
    <w:uiPriority w:val="9"/>
    <w:rPr>
      <w:rFonts w:ascii="Arial" w:hAnsi="Arial" w:eastAsia="Arial" w:cs="Arial"/>
      <w:b/>
      <w:bCs/>
      <w:sz w:val="24"/>
      <w:szCs w:val="24"/>
    </w:rPr>
  </w:style>
  <w:style w:type="character" w:styleId="23">
    <w:name w:val="Heading 6 Char"/>
    <w:basedOn w:val="840"/>
    <w:link w:val="839"/>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0"/>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0"/>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3"/>
    <w:next w:val="833"/>
    <w:link w:val="34"/>
    <w:uiPriority w:val="10"/>
    <w:qFormat/>
    <w:pPr>
      <w:contextualSpacing/>
      <w:spacing w:before="300" w:after="200"/>
    </w:pPr>
    <w:rPr>
      <w:sz w:val="48"/>
      <w:szCs w:val="48"/>
    </w:rPr>
  </w:style>
  <w:style w:type="character" w:styleId="34">
    <w:name w:val="Title Char"/>
    <w:basedOn w:val="840"/>
    <w:link w:val="33"/>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40"/>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0"/>
    <w:link w:val="854"/>
    <w:uiPriority w:val="99"/>
  </w:style>
  <w:style w:type="character" w:styleId="44">
    <w:name w:val="Footer Char"/>
    <w:basedOn w:val="840"/>
    <w:link w:val="852"/>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52"/>
    <w:uiPriority w:val="99"/>
  </w:style>
  <w:style w:type="table" w:styleId="47">
    <w:name w:val="Table Grid"/>
    <w:basedOn w:val="8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0"/>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0"/>
    <w:uiPriority w:val="99"/>
    <w:semiHidden/>
    <w:unhideWhenUsed/>
    <w:rPr>
      <w:vertAlign w:val="superscript"/>
    </w:r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4">
    <w:name w:val="Heading 1"/>
    <w:basedOn w:val="833"/>
    <w:next w:val="833"/>
    <w:link w:val="867"/>
    <w:uiPriority w:val="0"/>
    <w:qFormat/>
    <w:pPr>
      <w:jc w:val="center"/>
      <w:keepNext/>
      <w:outlineLvl w:val="0"/>
    </w:pPr>
    <w:rPr>
      <w:rFonts w:ascii="楷体_GB2312" w:hAnsi="Times New Roman" w:eastAsia="楷体_GB2312"/>
      <w:b/>
      <w:sz w:val="28"/>
      <w:szCs w:val="20"/>
    </w:rPr>
  </w:style>
  <w:style w:type="paragraph" w:styleId="835">
    <w:name w:val="Heading 2"/>
    <w:basedOn w:val="833"/>
    <w:next w:val="833"/>
    <w:uiPriority w:val="0"/>
    <w:qFormat/>
    <w:pPr>
      <w:keepLines/>
      <w:keepNext/>
      <w:spacing w:before="260" w:after="260" w:line="416" w:lineRule="auto"/>
      <w:outlineLvl w:val="1"/>
    </w:pPr>
    <w:rPr>
      <w:rFonts w:ascii="Arial" w:hAnsi="Arial" w:eastAsia="黑体"/>
      <w:b/>
      <w:bCs/>
      <w:sz w:val="32"/>
      <w:szCs w:val="32"/>
    </w:rPr>
  </w:style>
  <w:style w:type="paragraph" w:styleId="836">
    <w:name w:val="Heading 3"/>
    <w:basedOn w:val="833"/>
    <w:next w:val="833"/>
    <w:uiPriority w:val="0"/>
    <w:qFormat/>
    <w:pPr>
      <w:keepLines/>
      <w:keepNext/>
      <w:spacing w:before="260" w:after="260" w:line="416" w:lineRule="auto"/>
      <w:outlineLvl w:val="2"/>
    </w:pPr>
    <w:rPr>
      <w:b/>
      <w:bCs/>
      <w:sz w:val="32"/>
      <w:szCs w:val="32"/>
    </w:rPr>
  </w:style>
  <w:style w:type="paragraph" w:styleId="837">
    <w:name w:val="Heading 4"/>
    <w:basedOn w:val="833"/>
    <w:next w:val="833"/>
    <w:uiPriority w:val="0"/>
    <w:qFormat/>
    <w:pPr>
      <w:keepLines/>
      <w:keepNext/>
      <w:spacing w:before="280" w:after="290" w:line="376" w:lineRule="auto"/>
      <w:outlineLvl w:val="3"/>
    </w:pPr>
    <w:rPr>
      <w:rFonts w:ascii="Arial" w:hAnsi="Arial" w:eastAsia="黑体"/>
      <w:b/>
      <w:bCs/>
      <w:sz w:val="28"/>
      <w:szCs w:val="28"/>
    </w:rPr>
  </w:style>
  <w:style w:type="paragraph" w:styleId="838">
    <w:name w:val="Heading 5"/>
    <w:basedOn w:val="833"/>
    <w:next w:val="833"/>
    <w:uiPriority w:val="0"/>
    <w:qFormat/>
    <w:pPr>
      <w:keepLines/>
      <w:keepNext/>
      <w:spacing w:before="280" w:after="290" w:line="376" w:lineRule="auto"/>
      <w:outlineLvl w:val="4"/>
    </w:pPr>
    <w:rPr>
      <w:b/>
      <w:bCs/>
      <w:sz w:val="28"/>
      <w:szCs w:val="28"/>
    </w:rPr>
  </w:style>
  <w:style w:type="paragraph" w:styleId="839">
    <w:name w:val="Heading 6"/>
    <w:basedOn w:val="833"/>
    <w:next w:val="833"/>
    <w:uiPriority w:val="0"/>
    <w:qFormat/>
    <w:pPr>
      <w:keepLines/>
      <w:keepNext/>
      <w:spacing w:line="590" w:lineRule="exact"/>
      <w:outlineLvl w:val="5"/>
    </w:pPr>
    <w:rPr>
      <w:rFonts w:ascii="Cambria" w:hAnsi="Cambria" w:eastAsia="黑体"/>
      <w:b/>
      <w:bCs/>
      <w:sz w:val="24"/>
      <w:szCs w:val="24"/>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Note Heading"/>
    <w:basedOn w:val="833"/>
    <w:next w:val="833"/>
    <w:uiPriority w:val="0"/>
    <w:unhideWhenUsed/>
    <w:qFormat/>
    <w:pPr>
      <w:ind w:firstLine="480"/>
      <w:jc w:val="center"/>
      <w:spacing w:line="360" w:lineRule="auto"/>
    </w:pPr>
    <w:rPr>
      <w:lang w:val="zh-CN"/>
    </w:rPr>
  </w:style>
  <w:style w:type="paragraph" w:styleId="843">
    <w:name w:val="Normal Indent"/>
    <w:basedOn w:val="833"/>
    <w:uiPriority w:val="0"/>
    <w:qFormat/>
    <w:pPr>
      <w:ind w:firstLine="420"/>
    </w:pPr>
    <w:rPr>
      <w:rFonts w:ascii="Times New Roman" w:hAnsi="Times New Roman"/>
      <w:szCs w:val="24"/>
    </w:rPr>
  </w:style>
  <w:style w:type="paragraph" w:styleId="844">
    <w:name w:val="Document Map"/>
    <w:basedOn w:val="833"/>
    <w:uiPriority w:val="99"/>
    <w:qFormat/>
    <w:pPr>
      <w:shd w:val="clear" w:color="auto" w:fill="000080"/>
    </w:pPr>
  </w:style>
  <w:style w:type="paragraph" w:styleId="845">
    <w:name w:val="annotation text"/>
    <w:basedOn w:val="833"/>
    <w:link w:val="868"/>
    <w:uiPriority w:val="0"/>
    <w:qFormat/>
    <w:pPr>
      <w:jc w:val="left"/>
    </w:pPr>
    <w:rPr>
      <w:rFonts w:ascii="Times New Roman" w:hAnsi="Times New Roman"/>
      <w:sz w:val="20"/>
      <w:szCs w:val="24"/>
    </w:rPr>
  </w:style>
  <w:style w:type="paragraph" w:styleId="846">
    <w:name w:val="index 6"/>
    <w:basedOn w:val="833"/>
    <w:next w:val="833"/>
    <w:uiPriority w:val="0"/>
    <w:qFormat/>
    <w:pPr>
      <w:ind w:left="1000"/>
    </w:pPr>
  </w:style>
  <w:style w:type="paragraph" w:styleId="847">
    <w:name w:val="Body Text"/>
    <w:basedOn w:val="833"/>
    <w:next w:val="833"/>
    <w:link w:val="869"/>
    <w:uiPriority w:val="0"/>
    <w:qFormat/>
    <w:rPr>
      <w:rFonts w:ascii="华文中宋" w:hAnsi="Times New Roman" w:eastAsia="华文中宋"/>
      <w:bCs/>
      <w:sz w:val="28"/>
      <w:szCs w:val="20"/>
    </w:rPr>
  </w:style>
  <w:style w:type="paragraph" w:styleId="848">
    <w:name w:val="Body Text Indent"/>
    <w:basedOn w:val="833"/>
    <w:link w:val="870"/>
    <w:uiPriority w:val="0"/>
    <w:qFormat/>
    <w:pPr>
      <w:ind w:left="420"/>
      <w:spacing w:after="120"/>
    </w:pPr>
  </w:style>
  <w:style w:type="paragraph" w:styleId="849">
    <w:name w:val="Plain Text"/>
    <w:basedOn w:val="833"/>
    <w:next w:val="843"/>
    <w:link w:val="871"/>
    <w:uiPriority w:val="0"/>
    <w:qFormat/>
    <w:rPr>
      <w:rFonts w:ascii="宋体" w:hAnsi="Courier New"/>
      <w:sz w:val="20"/>
      <w:szCs w:val="20"/>
    </w:rPr>
  </w:style>
  <w:style w:type="paragraph" w:styleId="850">
    <w:name w:val="Date"/>
    <w:basedOn w:val="833"/>
    <w:next w:val="833"/>
    <w:uiPriority w:val="0"/>
    <w:qFormat/>
    <w:rPr>
      <w:sz w:val="24"/>
      <w:szCs w:val="24"/>
    </w:rPr>
  </w:style>
  <w:style w:type="paragraph" w:styleId="851">
    <w:name w:val="Balloon Text"/>
    <w:basedOn w:val="833"/>
    <w:uiPriority w:val="0"/>
    <w:qFormat/>
    <w:rPr>
      <w:sz w:val="18"/>
      <w:szCs w:val="18"/>
    </w:rPr>
  </w:style>
  <w:style w:type="paragraph" w:styleId="852">
    <w:name w:val="Footer"/>
    <w:basedOn w:val="833"/>
    <w:link w:val="872"/>
    <w:uiPriority w:val="0"/>
    <w:qFormat/>
    <w:pPr>
      <w:jc w:val="left"/>
      <w:tabs>
        <w:tab w:val="center" w:pos="4153" w:leader="none"/>
        <w:tab w:val="right" w:pos="8306" w:leader="none"/>
      </w:tabs>
    </w:pPr>
    <w:rPr>
      <w:rFonts w:ascii="Times New Roman" w:hAnsi="Times New Roman"/>
      <w:sz w:val="18"/>
      <w:szCs w:val="18"/>
    </w:rPr>
  </w:style>
  <w:style w:type="paragraph" w:styleId="853">
    <w:name w:val="envelope return"/>
    <w:basedOn w:val="833"/>
    <w:uiPriority w:val="0"/>
    <w:qFormat/>
    <w:rPr>
      <w:rFonts w:ascii="Arial" w:hAnsi="Arial"/>
    </w:rPr>
  </w:style>
  <w:style w:type="paragraph" w:styleId="854">
    <w:name w:val="Header"/>
    <w:basedOn w:val="833"/>
    <w:link w:val="87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5">
    <w:name w:val="toc 1"/>
    <w:basedOn w:val="833"/>
    <w:next w:val="833"/>
    <w:uiPriority w:val="0"/>
    <w:qFormat/>
  </w:style>
  <w:style w:type="paragraph" w:styleId="856">
    <w:name w:val="Normal (Web)"/>
    <w:basedOn w:val="833"/>
    <w:uiPriority w:val="0"/>
    <w:qFormat/>
    <w:pPr>
      <w:jc w:val="left"/>
      <w:spacing w:beforeAutospacing="1" w:afterAutospacing="1"/>
    </w:pPr>
    <w:rPr>
      <w:sz w:val="24"/>
      <w:szCs w:val="24"/>
    </w:rPr>
  </w:style>
  <w:style w:type="paragraph" w:styleId="857">
    <w:name w:val="annotation subject"/>
    <w:basedOn w:val="845"/>
    <w:next w:val="845"/>
    <w:link w:val="874"/>
    <w:uiPriority w:val="0"/>
    <w:qFormat/>
    <w:rPr>
      <w:b/>
      <w:bCs/>
      <w:sz w:val="21"/>
      <w:szCs w:val="22"/>
    </w:rPr>
  </w:style>
  <w:style w:type="paragraph" w:styleId="858">
    <w:name w:val="Body Text First Indent"/>
    <w:basedOn w:val="847"/>
    <w:uiPriority w:val="0"/>
    <w:qFormat/>
    <w:pPr>
      <w:ind w:firstLine="420"/>
    </w:pPr>
    <w:rPr>
      <w:rFonts w:ascii="Verdana" w:hAnsi="Verdana"/>
      <w:szCs w:val="28"/>
      <w:lang w:eastAsia="en-US"/>
    </w:rPr>
  </w:style>
  <w:style w:type="character" w:styleId="859">
    <w:name w:val="Strong"/>
    <w:basedOn w:val="840"/>
    <w:uiPriority w:val="0"/>
    <w:qFormat/>
    <w:rPr>
      <w:b/>
    </w:rPr>
  </w:style>
  <w:style w:type="character" w:styleId="860">
    <w:name w:val="page number"/>
    <w:uiPriority w:val="0"/>
    <w:qFormat/>
    <w:rPr>
      <w:rFonts w:ascii="Calibri" w:hAnsi="Calibri" w:eastAsia="宋体" w:cs="Times New Roman"/>
    </w:rPr>
  </w:style>
  <w:style w:type="character" w:styleId="861">
    <w:name w:val="Emphasis"/>
    <w:basedOn w:val="840"/>
    <w:uiPriority w:val="0"/>
    <w:qFormat/>
    <w:rPr>
      <w:i/>
    </w:rPr>
  </w:style>
  <w:style w:type="character" w:styleId="862">
    <w:name w:val="HTML Typewriter"/>
    <w:uiPriority w:val="0"/>
    <w:qFormat/>
    <w:rPr>
      <w:rFonts w:ascii="宋体" w:hAnsi="宋体" w:eastAsia="宋体" w:cs="宋体"/>
      <w:sz w:val="24"/>
      <w:szCs w:val="24"/>
    </w:rPr>
  </w:style>
  <w:style w:type="character" w:styleId="863">
    <w:name w:val="Hyperlink"/>
    <w:uiPriority w:val="0"/>
    <w:qFormat/>
    <w:rPr>
      <w:rFonts w:ascii="Calibri" w:hAnsi="Calibri" w:eastAsia="宋体" w:cs="Times New Roman"/>
      <w:color w:val="333333"/>
      <w:u w:val="none"/>
    </w:rPr>
  </w:style>
  <w:style w:type="character" w:styleId="864">
    <w:name w:val="annotation reference"/>
    <w:uiPriority w:val="0"/>
    <w:qFormat/>
    <w:rPr>
      <w:rFonts w:ascii="Calibri" w:hAnsi="Calibri" w:eastAsia="宋体" w:cs="Times New Roman"/>
      <w:sz w:val="21"/>
      <w:szCs w:val="21"/>
    </w:rPr>
  </w:style>
  <w:style w:type="paragraph" w:styleId="865" w:customStyle="1">
    <w:name w:val="DAS正文"/>
    <w:basedOn w:val="833"/>
    <w:uiPriority w:val="0"/>
    <w:qFormat/>
    <w:pPr>
      <w:ind w:right="181" w:firstLine="480"/>
      <w:spacing w:line="360" w:lineRule="auto"/>
    </w:pPr>
    <w:rPr>
      <w:rFonts w:ascii="Verdana" w:hAnsi="Verdana"/>
      <w:sz w:val="24"/>
      <w:szCs w:val="24"/>
    </w:rPr>
  </w:style>
  <w:style w:type="paragraph" w:styleId="866" w:customStyle="1">
    <w:name w:val="段"/>
    <w:next w:val="833"/>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67" w:customStyle="1">
    <w:name w:val="标题 1 Char"/>
    <w:link w:val="834"/>
    <w:uiPriority w:val="0"/>
    <w:qFormat/>
    <w:rPr>
      <w:rFonts w:ascii="楷体_GB2312" w:hAnsi="Times New Roman" w:eastAsia="楷体_GB2312" w:cs="Times New Roman"/>
      <w:b/>
      <w:sz w:val="28"/>
      <w:szCs w:val="20"/>
    </w:rPr>
  </w:style>
  <w:style w:type="character" w:styleId="868" w:customStyle="1">
    <w:name w:val="批注文字 Char1"/>
    <w:link w:val="845"/>
    <w:uiPriority w:val="0"/>
    <w:qFormat/>
    <w:rPr>
      <w:rFonts w:ascii="Times New Roman" w:hAnsi="Times New Roman" w:eastAsia="宋体" w:cs="Times New Roman"/>
      <w:szCs w:val="24"/>
    </w:rPr>
  </w:style>
  <w:style w:type="character" w:styleId="869" w:customStyle="1">
    <w:name w:val="正文文本 Char"/>
    <w:link w:val="847"/>
    <w:uiPriority w:val="0"/>
    <w:qFormat/>
    <w:rPr>
      <w:rFonts w:ascii="华文中宋" w:hAnsi="Times New Roman" w:eastAsia="华文中宋" w:cs="Times New Roman"/>
      <w:bCs/>
      <w:sz w:val="28"/>
      <w:szCs w:val="20"/>
    </w:rPr>
  </w:style>
  <w:style w:type="character" w:styleId="870" w:customStyle="1">
    <w:name w:val="正文文本缩进 Char"/>
    <w:link w:val="848"/>
    <w:uiPriority w:val="0"/>
    <w:qFormat/>
    <w:rPr>
      <w:rFonts w:ascii="Calibri" w:hAnsi="Calibri" w:eastAsia="宋体" w:cs="Times New Roman"/>
      <w:sz w:val="21"/>
      <w:szCs w:val="22"/>
    </w:rPr>
  </w:style>
  <w:style w:type="character" w:styleId="871" w:customStyle="1">
    <w:name w:val="纯文本 Char1"/>
    <w:link w:val="849"/>
    <w:uiPriority w:val="0"/>
    <w:qFormat/>
    <w:rPr>
      <w:rFonts w:ascii="宋体" w:hAnsi="Courier New" w:eastAsia="宋体" w:cs="Times New Roman"/>
      <w:szCs w:val="20"/>
    </w:rPr>
  </w:style>
  <w:style w:type="character" w:styleId="872" w:customStyle="1">
    <w:name w:val="页脚 Char"/>
    <w:link w:val="852"/>
    <w:uiPriority w:val="0"/>
    <w:qFormat/>
    <w:rPr>
      <w:rFonts w:ascii="Times New Roman" w:hAnsi="Times New Roman" w:eastAsia="宋体" w:cs="Times New Roman"/>
      <w:sz w:val="18"/>
      <w:szCs w:val="18"/>
    </w:rPr>
  </w:style>
  <w:style w:type="character" w:styleId="873" w:customStyle="1">
    <w:name w:val="页眉 Char"/>
    <w:link w:val="854"/>
    <w:uiPriority w:val="0"/>
    <w:qFormat/>
    <w:rPr>
      <w:rFonts w:ascii="Times New Roman" w:hAnsi="Times New Roman" w:eastAsia="宋体" w:cs="Times New Roman"/>
      <w:sz w:val="18"/>
      <w:szCs w:val="18"/>
    </w:rPr>
  </w:style>
  <w:style w:type="character" w:styleId="874" w:customStyle="1">
    <w:name w:val="批注主题 Char"/>
    <w:link w:val="857"/>
    <w:uiPriority w:val="0"/>
    <w:qFormat/>
    <w:rPr>
      <w:rFonts w:ascii="Times New Roman" w:hAnsi="Times New Roman" w:eastAsia="宋体" w:cs="Times New Roman"/>
      <w:b/>
      <w:bCs/>
      <w:sz w:val="21"/>
      <w:szCs w:val="22"/>
    </w:rPr>
  </w:style>
  <w:style w:type="character" w:styleId="875" w:customStyle="1">
    <w:name w:val="Char Char11"/>
    <w:uiPriority w:val="0"/>
    <w:qFormat/>
    <w:rPr>
      <w:rFonts w:ascii="宋体" w:hAnsi="Courier New" w:eastAsia="宋体" w:cs="Times New Roman"/>
      <w:sz w:val="21"/>
    </w:rPr>
  </w:style>
  <w:style w:type="character" w:styleId="876" w:customStyle="1">
    <w:name w:val="List Paragraph Char"/>
    <w:link w:val="877"/>
    <w:uiPriority w:val="0"/>
    <w:qFormat/>
    <w:rPr>
      <w:rFonts w:ascii="等线" w:hAnsi="等线" w:eastAsia="等线"/>
      <w:sz w:val="21"/>
      <w:szCs w:val="21"/>
      <w:lang w:val="en-US" w:eastAsia="zh-CN" w:bidi="ar-SA"/>
    </w:rPr>
  </w:style>
  <w:style w:type="paragraph" w:styleId="877" w:customStyle="1">
    <w:name w:val="列出段落1"/>
    <w:basedOn w:val="833"/>
    <w:link w:val="876"/>
    <w:uiPriority w:val="0"/>
    <w:qFormat/>
    <w:pPr>
      <w:ind w:firstLine="420"/>
      <w:jc w:val="left"/>
      <w:spacing w:line="360" w:lineRule="auto"/>
    </w:pPr>
    <w:rPr>
      <w:rFonts w:ascii="等线" w:hAnsi="等线" w:eastAsia="等线" w:cs="Calibri"/>
      <w:szCs w:val="21"/>
    </w:rPr>
  </w:style>
  <w:style w:type="character" w:styleId="878" w:customStyle="1">
    <w:name w:val="纯文本 Char"/>
    <w:uiPriority w:val="0"/>
    <w:qFormat/>
    <w:rPr>
      <w:rFonts w:ascii="宋体" w:hAnsi="Courier New" w:eastAsia="宋体" w:cs="Courier New"/>
      <w:szCs w:val="21"/>
    </w:rPr>
  </w:style>
  <w:style w:type="character" w:styleId="879" w:customStyle="1">
    <w:name w:val="批注文字 Char"/>
    <w:uiPriority w:val="0"/>
    <w:qFormat/>
    <w:rPr>
      <w:rFonts w:ascii="Calibri" w:hAnsi="Calibri" w:eastAsia="宋体" w:cs="Times New Roman"/>
    </w:rPr>
  </w:style>
  <w:style w:type="paragraph" w:styleId="880" w:customStyle="1">
    <w:name w:val="Char"/>
    <w:basedOn w:val="833"/>
    <w:uiPriority w:val="0"/>
    <w:qFormat/>
    <w:pPr>
      <w:tabs>
        <w:tab w:val="left" w:pos="360" w:leader="none"/>
      </w:tabs>
    </w:pPr>
    <w:rPr>
      <w:rFonts w:ascii="Times New Roman" w:hAnsi="Times New Roman"/>
      <w:sz w:val="24"/>
      <w:szCs w:val="24"/>
    </w:rPr>
  </w:style>
  <w:style w:type="paragraph" w:styleId="881" w:customStyle="1">
    <w:name w:val="纯文本3"/>
    <w:basedOn w:val="833"/>
    <w:uiPriority w:val="0"/>
    <w:qFormat/>
    <w:rPr>
      <w:rFonts w:hint="eastAsia" w:ascii="宋体" w:hAnsi="Courier New" w:eastAsia="楷体_GB2312"/>
      <w:sz w:val="28"/>
      <w:szCs w:val="20"/>
    </w:rPr>
  </w:style>
  <w:style w:type="paragraph" w:styleId="882"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83" w:customStyle="1">
    <w:name w:val="普通文字"/>
    <w:basedOn w:val="833"/>
    <w:next w:val="833"/>
    <w:uiPriority w:val="0"/>
    <w:qFormat/>
    <w:rPr>
      <w:rFonts w:ascii="宋体" w:hAnsi="Times New Roman"/>
      <w:sz w:val="24"/>
      <w:szCs w:val="20"/>
    </w:rPr>
  </w:style>
  <w:style w:type="paragraph" w:styleId="884" w:customStyle="1">
    <w:name w:val="普通正文"/>
    <w:basedOn w:val="833"/>
    <w:uiPriority w:val="0"/>
    <w:qFormat/>
    <w:pPr>
      <w:ind w:firstLine="480"/>
      <w:jc w:val="left"/>
      <w:spacing w:before="120" w:after="120" w:line="360" w:lineRule="auto"/>
    </w:pPr>
    <w:rPr>
      <w:rFonts w:ascii="Arial" w:hAnsi="Arial"/>
      <w:sz w:val="24"/>
    </w:rPr>
  </w:style>
  <w:style w:type="paragraph" w:styleId="885" w:customStyle="1">
    <w:name w:val="正文2"/>
    <w:basedOn w:val="833"/>
    <w:uiPriority w:val="0"/>
    <w:qFormat/>
    <w:pPr>
      <w:ind w:firstLine="200"/>
      <w:spacing w:before="156" w:line="360" w:lineRule="auto"/>
    </w:pPr>
    <w:rPr>
      <w:sz w:val="24"/>
      <w:szCs w:val="20"/>
    </w:rPr>
  </w:style>
  <w:style w:type="character" w:styleId="886" w:customStyle="1">
    <w:name w:val="font01"/>
    <w:basedOn w:val="840"/>
    <w:uiPriority w:val="0"/>
    <w:qFormat/>
    <w:rPr>
      <w:rFonts w:hint="eastAsia" w:ascii="宋体" w:hAnsi="宋体" w:eastAsia="宋体" w:cs="宋体"/>
      <w:color w:val="000000"/>
      <w:sz w:val="21"/>
      <w:szCs w:val="21"/>
      <w:u w:val="none"/>
    </w:rPr>
  </w:style>
  <w:style w:type="paragraph" w:styleId="887" w:customStyle="1">
    <w:name w:val="纯文本1"/>
    <w:basedOn w:val="833"/>
    <w:uiPriority w:val="0"/>
    <w:qFormat/>
    <w:rPr>
      <w:rFonts w:ascii="宋体" w:hAnsi="Courier New" w:eastAsia="楷体_GB2312"/>
      <w:sz w:val="26"/>
      <w:szCs w:val="20"/>
    </w:rPr>
  </w:style>
  <w:style w:type="paragraph" w:styleId="888" w:customStyle="1">
    <w:name w:val="WPSOffice手动目录 1"/>
    <w:uiPriority w:val="0"/>
    <w:qFormat/>
    <w:rPr>
      <w:rFonts w:ascii="Times New Roman" w:hAnsi="Times New Roman" w:eastAsia="宋体" w:cs="Times New Roman"/>
      <w:lang w:val="en-US" w:eastAsia="zh-CN" w:bidi="ar-SA"/>
    </w:rPr>
  </w:style>
  <w:style w:type="paragraph" w:styleId="889">
    <w:name w:val="List Paragraph"/>
    <w:basedOn w:val="833"/>
    <w:uiPriority w:val="34"/>
    <w:qFormat/>
    <w:pPr>
      <w:ind w:firstLine="420"/>
    </w:pPr>
    <w:rPr>
      <w:sz w:val="20"/>
      <w:szCs w:val="20"/>
    </w:rPr>
  </w:style>
  <w:style w:type="paragraph" w:styleId="890" w:customStyle="1">
    <w:name w:val="UserStyle_57"/>
    <w:basedOn w:val="833"/>
    <w:next w:val="889"/>
    <w:uiPriority w:val="99"/>
    <w:qFormat/>
    <w:pPr>
      <w:ind w:firstLine="420"/>
    </w:pPr>
    <w:rPr>
      <w:szCs w:val="24"/>
    </w:rPr>
  </w:style>
  <w:style w:type="paragraph" w:styleId="891" w:customStyle="1">
    <w:name w:val="正文缩进11"/>
    <w:basedOn w:val="833"/>
    <w:next w:val="833"/>
    <w:uiPriority w:val="0"/>
    <w:qFormat/>
    <w:pPr>
      <w:ind w:firstLine="420"/>
    </w:pPr>
    <w:rPr>
      <w:szCs w:val="21"/>
    </w:rPr>
  </w:style>
  <w:style w:type="table" w:styleId="892" w:customStyle="1">
    <w:name w:val="Table Normal"/>
    <w:uiPriority w:val="0"/>
    <w:semiHidden/>
    <w:unhideWhenUsed/>
    <w:qFormat/>
    <w:tblPr>
      <w:tblCellMar>
        <w:left w:w="0" w:type="dxa"/>
        <w:top w:w="0" w:type="dxa"/>
        <w:right w:w="0" w:type="dxa"/>
        <w:bottom w:w="0" w:type="dxa"/>
      </w:tblCellMar>
    </w:tblPr>
  </w:style>
  <w:style w:type="paragraph" w:styleId="89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894" w:customStyle="1">
    <w:name w:val="标题 31"/>
    <w:basedOn w:val="895"/>
    <w:next w:val="895"/>
    <w:uiPriority w:val="0"/>
    <w:qFormat/>
    <w:pPr>
      <w:jc w:val="both"/>
      <w:keepLines/>
      <w:keepNext/>
      <w:spacing w:before="260" w:after="260" w:line="413" w:lineRule="auto"/>
      <w:widowControl w:val="off"/>
      <w:outlineLvl w:val="2"/>
    </w:pPr>
    <w:rPr>
      <w:b/>
      <w:sz w:val="32"/>
    </w:rPr>
  </w:style>
  <w:style w:type="paragraph" w:styleId="895" w:customStyle="1">
    <w:name w:val="正文11"/>
    <w:uiPriority w:val="0"/>
    <w:qFormat/>
    <w:rPr>
      <w:rFonts w:ascii="Times New Roman" w:hAnsi="Times New Roman" w:eastAsia="宋体" w:cs="Times New Roman"/>
      <w:lang w:val="en-US" w:eastAsia="zh-CN" w:bidi="ar-SA"/>
    </w:rPr>
  </w:style>
  <w:style w:type="paragraph" w:styleId="896" w:customStyle="1">
    <w:name w:val="标题 41"/>
    <w:basedOn w:val="895"/>
    <w:next w:val="895"/>
    <w:uiPriority w:val="0"/>
    <w:qFormat/>
    <w:pPr>
      <w:jc w:val="both"/>
      <w:keepLines/>
      <w:keepNext/>
      <w:spacing w:before="280" w:after="290" w:line="372" w:lineRule="auto"/>
      <w:widowControl w:val="off"/>
      <w:outlineLvl w:val="3"/>
    </w:pPr>
    <w:rPr>
      <w:rFonts w:ascii="Arial" w:hAnsi="Arial" w:eastAsia="黑体"/>
      <w:b/>
      <w:sz w:val="28"/>
    </w:rPr>
  </w:style>
  <w:style w:type="paragraph" w:styleId="897" w:customStyle="1">
    <w:name w:val="Blockquote"/>
    <w:basedOn w:val="833"/>
    <w:uiPriority w:val="0"/>
    <w:qFormat/>
    <w:pPr>
      <w:ind w:left="360" w:right="360"/>
      <w:spacing w:before="100" w:after="100"/>
    </w:pPr>
    <w:rPr>
      <w:sz w:val="24"/>
      <w:szCs w:val="20"/>
    </w:rPr>
  </w:style>
  <w:style w:type="paragraph" w:styleId="898" w:customStyle="1">
    <w:name w:val="标题 4_0"/>
    <w:basedOn w:val="899"/>
    <w:next w:val="899"/>
    <w:uiPriority w:val="0"/>
    <w:qFormat/>
    <w:pPr>
      <w:keepLines/>
      <w:keepNext/>
      <w:spacing w:before="280" w:after="290" w:line="372" w:lineRule="auto"/>
      <w:outlineLvl w:val="3"/>
    </w:pPr>
    <w:rPr>
      <w:rFonts w:ascii="Cambria" w:hAnsi="Cambria"/>
      <w:b/>
      <w:bCs/>
      <w:sz w:val="28"/>
      <w:szCs w:val="28"/>
    </w:rPr>
  </w:style>
  <w:style w:type="paragraph" w:styleId="89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Table Text"/>
    <w:basedOn w:val="833"/>
    <w:uiPriority w:val="0"/>
    <w:qFormat/>
    <w:pPr>
      <w:spacing w:before="80" w:after="80" w:line="240" w:lineRule="atLeast"/>
    </w:pPr>
    <w:rPr>
      <w:sz w:val="20"/>
      <w:szCs w:val="21"/>
    </w:rPr>
  </w:style>
  <w:style w:type="numbering" w:styleId="38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27</cp:revision>
  <dcterms:created xsi:type="dcterms:W3CDTF">2023-10-31T07:21:00Z</dcterms:created>
  <dcterms:modified xsi:type="dcterms:W3CDTF">2025-11-28T04:30:59Z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